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26-93</w:t>
      </w:r>
    </w:p>
    <w:p>
      <w:pPr>
        <w:spacing w:before="0" w:after="0" w:line="480"/>
        <w:ind w:left="120"/>
        <w:jc w:val="left"/>
      </w:pPr>
    </w:p>
    <w:p>
      <w:pPr>
        <w:spacing w:before="0" w:after="0" w:line="480"/>
        <w:ind w:left="120"/>
        <w:jc w:val="center"/>
      </w:pPr>
      <w:r>
        <w:rPr>
          <w:rFonts w:ascii="Times New Roman" w:hAnsi="Times New Roman"/>
          <w:b/>
          <w:i w:val="false"/>
          <w:color w:val="000000"/>
          <w:sz w:val="28"/>
        </w:rPr>
        <w:t>SECRETARY OF STATE[721]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721—Chapter 21</w:t>
      </w:r>
    </w:p>
    <w:p>
      <w:pPr>
        <w:spacing w:before="0" w:after="0" w:line="480"/>
        <w:ind w:left="120"/>
        <w:jc w:val="center"/>
      </w:pPr>
      <w:r>
        <w:rPr>
          <w:rFonts w:ascii="Times New Roman" w:hAnsi="Times New Roman"/>
          <w:b w:val="false"/>
          <w:i w:val="false"/>
          <w:color w:val="000000"/>
          <w:sz w:val="24"/>
        </w:rPr>
        <w:t>“Election Forms and Instructions”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49.44</w:t>
      </w:r>
    </w:p>
    <w:p>
      <w:pPr>
        <w:spacing w:before="0" w:after="0" w:line="480"/>
        <w:ind w:left="120"/>
        <w:jc w:val="both"/>
      </w:pPr>
      <w:r>
        <w:rPr>
          <w:rFonts w:ascii="Times New Roman" w:hAnsi="Times New Roman"/>
          <w:b w:val="false"/>
          <w:i w:val="false"/>
          <w:color w:val="000000"/>
          <w:sz w:val="24"/>
        </w:rPr>
        <w:t>State or federal law(s) implemented by the rulemaking: Iowa Code chapter 49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meet.google.com/acs-tohh-mmc</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Secretary of State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Emma Larson</w:t>
            </w:r>
            <w:r>
              <w:br/>
            </w:r>
            <w:r>
              <w:rPr>
                <w:rFonts w:ascii="Times New Roman" w:hAnsi="Times New Roman"/>
                <w:b w:val="false"/>
                <w:i w:val="false"/>
                <w:color w:val="000000"/>
                <w:sz w:val="14"/>
              </w:rPr>
              <w:t>Office of the Secretary of State</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 First Floor</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emma.larson@sos.iowa.gov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subrule is to provide voters and other interested persons with the opportunity to review the summary to be printed on the ballot for the proposed constitutional amendments that are to be voted upon at the November 3, 2026, General Election. Because the only purpose for this Regulatory Analysis is to solicit public comments, following the comment period, the regular rulemaking process will be terminated without adopting subrules.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Iowans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Not applicable.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21.200(4)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21.200(4)</w:t>
      </w:r>
      <w:r>
        <w:rPr>
          <w:rFonts w:ascii="Times New Roman" w:hAnsi="Times New Roman"/>
          <w:b w:val="false"/>
          <w:i w:val="false"/>
          <w:color w:val="000000"/>
          <w:sz w:val="24"/>
        </w:rPr>
        <w:t> </w:t>
      </w:r>
      <w:r>
        <w:rPr>
          <w:rFonts w:ascii="Times New Roman" w:hAnsi="Times New Roman"/>
          <w:b w:val="false"/>
          <w:i w:val="false"/>
          <w:color w:val="000000"/>
          <w:sz w:val="24"/>
        </w:rPr>
        <w:t>A proposed constitutional amendment was passed by the Ninetieth General Assembly as House Joint Resolution 2006 and by the Ninety-First General Assembly as Senate Joint Resolution 11. This proposed amendment will be voted upon at the general election to be held on November 3, 2026.</w:t>
      </w:r>
    </w:p>
    <w:p>
      <w:pPr>
        <w:spacing w:before="0" w:after="0" w:line="480"/>
        <w:ind w:left="120"/>
        <w:jc w:val="both"/>
      </w:pPr>
      <w:r>
        <w:rPr>
          <w:rFonts w:ascii="Times New Roman" w:hAnsi="Times New Roman"/>
          <w:b w:val="false"/>
          <w:i w:val="false"/>
          <w:color w:val="000000"/>
          <w:sz w:val="24"/>
        </w:rPr>
        <w:t>The summary that is proposed by the Secretary of State appears below:</w:t>
      </w:r>
    </w:p>
    <w:p>
      <w:pPr>
        <w:spacing w:before="0" w:after="0" w:line="480"/>
        <w:ind w:left="120"/>
        <w:jc w:val="both"/>
      </w:pPr>
      <w:r>
        <w:rPr>
          <w:rFonts w:ascii="Times New Roman" w:hAnsi="Times New Roman"/>
          <w:b w:val="false"/>
          <w:i w:val="false"/>
          <w:color w:val="000000"/>
          <w:sz w:val="24"/>
        </w:rPr>
        <w:t>Summary: Provides that any bill to increase the individual income tax rate or the corporate income tax rate, or the rate of any other type of tax based upon income or legal and special reserves, shall require the affirmative votes of at least two-thirds of the members elected to each house of the legislature for passage. Further, the two-thirds majority vote requirement applies to the passage of a bill to establish a new tax on any type of income or legal and special reserves imposed by the state. The requirement excludes taxes imposed at the option of a local government. A lawsuit challenging the proper enactment of a bill under this section must be filed no later than one year following the enactment.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acs-tohh-mmc" Type="http://schemas.openxmlformats.org/officeDocument/2006/relationships/hyperlink" Id="rId4"/>
    <Relationship TargetMode="External" Target="mailto:emma.larson@sos.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